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BE60" w14:textId="4F3F4AF1" w:rsidR="00F04B4F" w:rsidRDefault="009A591E" w:rsidP="000A361A">
      <w:pPr>
        <w:spacing w:after="0"/>
        <w:jc w:val="center"/>
        <w:rPr>
          <w:b/>
          <w:bCs/>
          <w:sz w:val="40"/>
          <w:szCs w:val="40"/>
        </w:rPr>
      </w:pPr>
      <w:r w:rsidRPr="000A361A">
        <w:rPr>
          <w:b/>
          <w:bCs/>
          <w:sz w:val="40"/>
          <w:szCs w:val="40"/>
        </w:rPr>
        <w:t>PUBLIC NOTICE</w:t>
      </w:r>
    </w:p>
    <w:p w14:paraId="1A276C6F" w14:textId="6A584865" w:rsidR="00CF3514" w:rsidRPr="00CF3514" w:rsidRDefault="00CF3514" w:rsidP="00CF3514">
      <w:pPr>
        <w:ind w:right="590"/>
        <w:jc w:val="center"/>
        <w:rPr>
          <w:rFonts w:ascii="Times New Roman" w:hAnsi="Times New Roman" w:cs="Times New Roman"/>
          <w:b/>
        </w:rPr>
      </w:pPr>
      <w:r w:rsidRPr="00CF3514">
        <w:rPr>
          <w:rFonts w:ascii="Times New Roman" w:hAnsi="Times New Roman" w:cs="Times New Roman"/>
          <w:b/>
        </w:rPr>
        <w:t xml:space="preserve">NOTICE OF PUBLIC HEARING ON THE ADOPTION OF </w:t>
      </w:r>
      <w:r>
        <w:rPr>
          <w:rFonts w:ascii="Times New Roman" w:hAnsi="Times New Roman" w:cs="Times New Roman"/>
          <w:b/>
        </w:rPr>
        <w:t>DEVELOPMENT IMPACT FEES</w:t>
      </w:r>
      <w:r w:rsidRPr="00CF3514">
        <w:rPr>
          <w:rFonts w:ascii="Times New Roman" w:hAnsi="Times New Roman" w:cs="Times New Roman"/>
          <w:b/>
        </w:rPr>
        <w:t xml:space="preserve"> OF THE LOWCOUNTRY REGIONAL WATER SYSTEM, SOUTH CAROLINA</w:t>
      </w:r>
    </w:p>
    <w:p w14:paraId="067A3A9E" w14:textId="77777777" w:rsidR="00CF3514" w:rsidRPr="00CE3F01" w:rsidRDefault="00CF3514" w:rsidP="000A361A">
      <w:pPr>
        <w:spacing w:after="0"/>
        <w:jc w:val="center"/>
        <w:rPr>
          <w:b/>
          <w:bCs/>
          <w:sz w:val="24"/>
          <w:szCs w:val="24"/>
        </w:rPr>
      </w:pPr>
    </w:p>
    <w:p w14:paraId="6E3EEE63" w14:textId="4F014057" w:rsidR="00CF3514" w:rsidRPr="00574F42" w:rsidRDefault="00CF3514" w:rsidP="00CF3514">
      <w:pPr>
        <w:spacing w:after="240"/>
        <w:jc w:val="both"/>
        <w:rPr>
          <w:sz w:val="23"/>
          <w:szCs w:val="23"/>
        </w:rPr>
      </w:pPr>
      <w:r>
        <w:rPr>
          <w:sz w:val="23"/>
          <w:szCs w:val="23"/>
        </w:rPr>
        <w:t xml:space="preserve">The Lowcountry Regional Water System Commission (the “Commission”), the governing body of the Lowcountry Regional Water System (“LRWS”) will hold a public hearing </w:t>
      </w:r>
      <w:r w:rsidR="00EF4FED">
        <w:rPr>
          <w:sz w:val="23"/>
          <w:szCs w:val="23"/>
        </w:rPr>
        <w:t xml:space="preserve">(the “Public Hearing”) </w:t>
      </w:r>
      <w:r>
        <w:rPr>
          <w:sz w:val="23"/>
          <w:szCs w:val="23"/>
        </w:rPr>
        <w:t xml:space="preserve">regarding the adoption of </w:t>
      </w:r>
      <w:r w:rsidR="00F45313">
        <w:rPr>
          <w:sz w:val="23"/>
          <w:szCs w:val="23"/>
        </w:rPr>
        <w:t xml:space="preserve">Development Impact Fees also known as </w:t>
      </w:r>
      <w:r w:rsidR="00265BBE">
        <w:rPr>
          <w:sz w:val="23"/>
          <w:szCs w:val="23"/>
        </w:rPr>
        <w:t>“Impact Fees</w:t>
      </w:r>
      <w:r w:rsidR="00EF4FED">
        <w:rPr>
          <w:sz w:val="23"/>
          <w:szCs w:val="23"/>
        </w:rPr>
        <w:t>,</w:t>
      </w:r>
      <w:r w:rsidR="00265BBE">
        <w:rPr>
          <w:sz w:val="23"/>
          <w:szCs w:val="23"/>
        </w:rPr>
        <w:t xml:space="preserve"> “</w:t>
      </w:r>
      <w:r>
        <w:rPr>
          <w:sz w:val="23"/>
          <w:szCs w:val="23"/>
        </w:rPr>
        <w:t>Capacity Fees</w:t>
      </w:r>
      <w:r w:rsidR="00265BBE">
        <w:rPr>
          <w:sz w:val="23"/>
          <w:szCs w:val="23"/>
        </w:rPr>
        <w:t>”</w:t>
      </w:r>
      <w:r w:rsidR="00EF4FED">
        <w:rPr>
          <w:sz w:val="23"/>
          <w:szCs w:val="23"/>
        </w:rPr>
        <w:t xml:space="preserve"> or “Capital Recovery Fees”</w:t>
      </w:r>
      <w:r>
        <w:rPr>
          <w:sz w:val="23"/>
          <w:szCs w:val="23"/>
        </w:rPr>
        <w:t xml:space="preserve"> for its water and sewer services.  The Public Hearing will be held </w:t>
      </w:r>
      <w:proofErr w:type="gramStart"/>
      <w:r>
        <w:rPr>
          <w:sz w:val="23"/>
          <w:szCs w:val="23"/>
        </w:rPr>
        <w:t>in</w:t>
      </w:r>
      <w:r w:rsidR="00AB40CE">
        <w:rPr>
          <w:sz w:val="23"/>
          <w:szCs w:val="23"/>
        </w:rPr>
        <w:t xml:space="preserve"> </w:t>
      </w:r>
      <w:r>
        <w:rPr>
          <w:sz w:val="23"/>
          <w:szCs w:val="23"/>
        </w:rPr>
        <w:t>order</w:t>
      </w:r>
      <w:r w:rsidR="00AB40CE">
        <w:rPr>
          <w:sz w:val="23"/>
          <w:szCs w:val="23"/>
        </w:rPr>
        <w:t xml:space="preserve"> </w:t>
      </w:r>
      <w:r>
        <w:rPr>
          <w:sz w:val="23"/>
          <w:szCs w:val="23"/>
        </w:rPr>
        <w:t>to</w:t>
      </w:r>
      <w:proofErr w:type="gramEnd"/>
      <w:r w:rsidR="00AB40CE">
        <w:rPr>
          <w:sz w:val="23"/>
          <w:szCs w:val="23"/>
        </w:rPr>
        <w:t xml:space="preserve"> </w:t>
      </w:r>
      <w:r>
        <w:rPr>
          <w:sz w:val="23"/>
          <w:szCs w:val="23"/>
        </w:rPr>
        <w:t>comply with the requirements of Section 6-1-</w:t>
      </w:r>
      <w:r w:rsidR="00AB40CE">
        <w:rPr>
          <w:sz w:val="23"/>
          <w:szCs w:val="23"/>
        </w:rPr>
        <w:t xml:space="preserve">1080 </w:t>
      </w:r>
      <w:proofErr w:type="gramStart"/>
      <w:r w:rsidR="00AB40CE">
        <w:rPr>
          <w:sz w:val="23"/>
          <w:szCs w:val="23"/>
        </w:rPr>
        <w:t>and as</w:t>
      </w:r>
      <w:proofErr w:type="gramEnd"/>
      <w:r w:rsidR="00AB40CE">
        <w:rPr>
          <w:sz w:val="23"/>
          <w:szCs w:val="23"/>
        </w:rPr>
        <w:t xml:space="preserve"> Section 6-1-330 </w:t>
      </w:r>
      <w:r>
        <w:rPr>
          <w:sz w:val="23"/>
          <w:szCs w:val="23"/>
        </w:rPr>
        <w:t>of the South Carolina Code of Laws 1976, as amended</w:t>
      </w:r>
      <w:r w:rsidR="00AB40CE">
        <w:rPr>
          <w:sz w:val="23"/>
          <w:szCs w:val="23"/>
        </w:rPr>
        <w:t xml:space="preserve"> </w:t>
      </w:r>
      <w:r w:rsidR="00EF4FED">
        <w:rPr>
          <w:sz w:val="23"/>
          <w:szCs w:val="23"/>
        </w:rPr>
        <w:t xml:space="preserve">and </w:t>
      </w:r>
      <w:r w:rsidR="00AB40CE">
        <w:rPr>
          <w:sz w:val="23"/>
          <w:szCs w:val="23"/>
        </w:rPr>
        <w:t>may apply</w:t>
      </w:r>
      <w:r>
        <w:rPr>
          <w:sz w:val="23"/>
          <w:szCs w:val="23"/>
        </w:rPr>
        <w:t xml:space="preserve">.  </w:t>
      </w:r>
    </w:p>
    <w:p w14:paraId="7F4C3323" w14:textId="407F5841" w:rsidR="00CF3514" w:rsidRPr="00574F42" w:rsidRDefault="00CF3514" w:rsidP="00CF3514">
      <w:pPr>
        <w:spacing w:after="240"/>
        <w:jc w:val="both"/>
        <w:rPr>
          <w:sz w:val="23"/>
          <w:szCs w:val="23"/>
        </w:rPr>
      </w:pPr>
      <w:r w:rsidRPr="00574F42">
        <w:rPr>
          <w:sz w:val="23"/>
          <w:szCs w:val="23"/>
        </w:rPr>
        <w:tab/>
        <w:t xml:space="preserve">Accordingly, notice </w:t>
      </w:r>
      <w:r>
        <w:rPr>
          <w:sz w:val="23"/>
          <w:szCs w:val="23"/>
        </w:rPr>
        <w:t>is hereby given that the Public H</w:t>
      </w:r>
      <w:r w:rsidRPr="00574F42">
        <w:rPr>
          <w:sz w:val="23"/>
          <w:szCs w:val="23"/>
        </w:rPr>
        <w:t xml:space="preserve">earing will be held </w:t>
      </w:r>
      <w:r>
        <w:rPr>
          <w:sz w:val="23"/>
          <w:szCs w:val="23"/>
        </w:rPr>
        <w:t xml:space="preserve">by the Commission in the main conference room of the Hampton County Administration Building located at 200 Jackson Street East, Hampton, S.C., on August </w:t>
      </w:r>
      <w:r w:rsidR="00265BBE">
        <w:rPr>
          <w:sz w:val="23"/>
          <w:szCs w:val="23"/>
        </w:rPr>
        <w:t>22</w:t>
      </w:r>
      <w:r>
        <w:rPr>
          <w:sz w:val="23"/>
          <w:szCs w:val="23"/>
        </w:rPr>
        <w:t xml:space="preserve">, </w:t>
      </w:r>
      <w:proofErr w:type="gramStart"/>
      <w:r>
        <w:rPr>
          <w:sz w:val="23"/>
          <w:szCs w:val="23"/>
        </w:rPr>
        <w:t>20</w:t>
      </w:r>
      <w:r w:rsidR="00265BBE">
        <w:rPr>
          <w:sz w:val="23"/>
          <w:szCs w:val="23"/>
        </w:rPr>
        <w:t>23</w:t>
      </w:r>
      <w:proofErr w:type="gramEnd"/>
      <w:r>
        <w:rPr>
          <w:sz w:val="23"/>
          <w:szCs w:val="23"/>
        </w:rPr>
        <w:t xml:space="preserve"> at 4</w:t>
      </w:r>
      <w:r w:rsidRPr="00E03508">
        <w:rPr>
          <w:sz w:val="23"/>
          <w:szCs w:val="23"/>
        </w:rPr>
        <w:t>:00</w:t>
      </w:r>
      <w:r>
        <w:rPr>
          <w:sz w:val="23"/>
          <w:szCs w:val="23"/>
        </w:rPr>
        <w:t xml:space="preserve"> </w:t>
      </w:r>
      <w:r w:rsidRPr="00574F42">
        <w:rPr>
          <w:sz w:val="23"/>
          <w:szCs w:val="23"/>
        </w:rPr>
        <w:t>p.m</w:t>
      </w:r>
      <w:r>
        <w:rPr>
          <w:sz w:val="23"/>
          <w:szCs w:val="23"/>
        </w:rPr>
        <w:t xml:space="preserve">.  The </w:t>
      </w:r>
      <w:r w:rsidR="00265BBE">
        <w:rPr>
          <w:sz w:val="23"/>
          <w:szCs w:val="23"/>
        </w:rPr>
        <w:t xml:space="preserve">proposed </w:t>
      </w:r>
      <w:r w:rsidR="00EF4FED">
        <w:rPr>
          <w:sz w:val="23"/>
          <w:szCs w:val="23"/>
        </w:rPr>
        <w:t xml:space="preserve">Capacity </w:t>
      </w:r>
      <w:r w:rsidR="00265BBE">
        <w:rPr>
          <w:sz w:val="23"/>
          <w:szCs w:val="23"/>
        </w:rPr>
        <w:t>Fees for the water and wastewater systems</w:t>
      </w:r>
      <w:r>
        <w:rPr>
          <w:sz w:val="23"/>
          <w:szCs w:val="23"/>
        </w:rPr>
        <w:t xml:space="preserve"> are as follows:</w:t>
      </w:r>
      <w:r w:rsidRPr="00574F42">
        <w:rPr>
          <w:sz w:val="23"/>
          <w:szCs w:val="23"/>
        </w:rPr>
        <w:t xml:space="preserve"> </w:t>
      </w:r>
      <w:bookmarkStart w:id="0" w:name="_Hlk141267205"/>
    </w:p>
    <w:tbl>
      <w:tblPr>
        <w:tblStyle w:val="TableGrid"/>
        <w:tblW w:w="9900" w:type="dxa"/>
        <w:tblInd w:w="-185" w:type="dxa"/>
        <w:tblLook w:val="04A0" w:firstRow="1" w:lastRow="0" w:firstColumn="1" w:lastColumn="0" w:noHBand="0" w:noVBand="1"/>
      </w:tblPr>
      <w:tblGrid>
        <w:gridCol w:w="3600"/>
        <w:gridCol w:w="3240"/>
        <w:gridCol w:w="3060"/>
      </w:tblGrid>
      <w:tr w:rsidR="00CE3F01" w:rsidRPr="00D57487" w14:paraId="33C9DEBE" w14:textId="77777777" w:rsidTr="00991A17">
        <w:tc>
          <w:tcPr>
            <w:tcW w:w="3600" w:type="dxa"/>
          </w:tcPr>
          <w:p w14:paraId="20E10905" w14:textId="77777777" w:rsidR="00CE3F01" w:rsidRPr="00D57487" w:rsidRDefault="00CE3F01" w:rsidP="00991A17">
            <w:pPr>
              <w:jc w:val="center"/>
              <w:rPr>
                <w:sz w:val="24"/>
                <w:szCs w:val="24"/>
              </w:rPr>
            </w:pPr>
          </w:p>
        </w:tc>
        <w:tc>
          <w:tcPr>
            <w:tcW w:w="3240" w:type="dxa"/>
          </w:tcPr>
          <w:p w14:paraId="7423D523" w14:textId="77777777" w:rsidR="00CE3F01" w:rsidRPr="00AB40CE" w:rsidRDefault="00CE3F01" w:rsidP="00991A17">
            <w:pPr>
              <w:jc w:val="center"/>
              <w:rPr>
                <w:b/>
                <w:bCs/>
                <w:sz w:val="24"/>
                <w:szCs w:val="24"/>
              </w:rPr>
            </w:pPr>
            <w:r w:rsidRPr="00AB40CE">
              <w:rPr>
                <w:b/>
                <w:bCs/>
                <w:sz w:val="24"/>
                <w:szCs w:val="24"/>
              </w:rPr>
              <w:t>Service Units</w:t>
            </w:r>
          </w:p>
        </w:tc>
        <w:tc>
          <w:tcPr>
            <w:tcW w:w="3060" w:type="dxa"/>
          </w:tcPr>
          <w:p w14:paraId="1DB49521" w14:textId="77777777" w:rsidR="00CE3F01" w:rsidRPr="00AB40CE" w:rsidRDefault="00CE3F01" w:rsidP="00991A17">
            <w:pPr>
              <w:jc w:val="center"/>
              <w:rPr>
                <w:b/>
                <w:bCs/>
                <w:sz w:val="24"/>
                <w:szCs w:val="24"/>
              </w:rPr>
            </w:pPr>
            <w:r w:rsidRPr="00AB40CE">
              <w:rPr>
                <w:b/>
                <w:bCs/>
                <w:sz w:val="24"/>
                <w:szCs w:val="24"/>
              </w:rPr>
              <w:t>Capacity Fees</w:t>
            </w:r>
          </w:p>
        </w:tc>
      </w:tr>
      <w:tr w:rsidR="00CE3F01" w:rsidRPr="00D57487" w14:paraId="61DE4BE9" w14:textId="77777777" w:rsidTr="00991A17">
        <w:tc>
          <w:tcPr>
            <w:tcW w:w="3600" w:type="dxa"/>
          </w:tcPr>
          <w:p w14:paraId="6272EB00" w14:textId="77777777" w:rsidR="00CE3F01" w:rsidRDefault="00CE3F01" w:rsidP="00991A17">
            <w:pPr>
              <w:spacing w:after="0"/>
              <w:rPr>
                <w:sz w:val="24"/>
                <w:szCs w:val="24"/>
              </w:rPr>
            </w:pPr>
            <w:r w:rsidRPr="00D57487">
              <w:rPr>
                <w:sz w:val="24"/>
                <w:szCs w:val="24"/>
              </w:rPr>
              <w:t xml:space="preserve">Water Capacity Fee </w:t>
            </w:r>
          </w:p>
          <w:p w14:paraId="190399D3" w14:textId="77777777" w:rsidR="00CE3F01" w:rsidRDefault="00CE3F01" w:rsidP="00991A17">
            <w:pPr>
              <w:spacing w:after="0"/>
              <w:rPr>
                <w:sz w:val="24"/>
                <w:szCs w:val="24"/>
              </w:rPr>
            </w:pPr>
            <w:r>
              <w:rPr>
                <w:sz w:val="24"/>
                <w:szCs w:val="24"/>
              </w:rPr>
              <w:t>P</w:t>
            </w:r>
            <w:r w:rsidRPr="00D57487">
              <w:rPr>
                <w:sz w:val="24"/>
                <w:szCs w:val="24"/>
              </w:rPr>
              <w:t xml:space="preserve">er Meter Equivalent </w:t>
            </w:r>
          </w:p>
          <w:p w14:paraId="6DAE3FE1" w14:textId="5605A215" w:rsidR="00CE3F01" w:rsidRPr="00D57487" w:rsidRDefault="00CE3F01" w:rsidP="00991A17">
            <w:pPr>
              <w:spacing w:after="0"/>
              <w:rPr>
                <w:sz w:val="24"/>
                <w:szCs w:val="24"/>
              </w:rPr>
            </w:pPr>
            <w:r>
              <w:rPr>
                <w:sz w:val="24"/>
                <w:szCs w:val="24"/>
              </w:rPr>
              <w:t>“Residential Equivalent Unit” (REU)</w:t>
            </w:r>
          </w:p>
        </w:tc>
        <w:tc>
          <w:tcPr>
            <w:tcW w:w="3240" w:type="dxa"/>
          </w:tcPr>
          <w:p w14:paraId="50D5959F" w14:textId="77777777" w:rsidR="00CE3F01" w:rsidRPr="00D57487" w:rsidRDefault="00CE3F01" w:rsidP="00991A17">
            <w:pPr>
              <w:rPr>
                <w:sz w:val="24"/>
                <w:szCs w:val="24"/>
              </w:rPr>
            </w:pPr>
            <w:r w:rsidRPr="00D57487">
              <w:rPr>
                <w:sz w:val="24"/>
                <w:szCs w:val="24"/>
              </w:rPr>
              <w:t>“</w:t>
            </w:r>
            <w:r>
              <w:rPr>
                <w:sz w:val="24"/>
                <w:szCs w:val="24"/>
              </w:rPr>
              <w:t xml:space="preserve">Residential </w:t>
            </w:r>
            <w:r w:rsidRPr="00D57487">
              <w:rPr>
                <w:sz w:val="24"/>
                <w:szCs w:val="24"/>
              </w:rPr>
              <w:t xml:space="preserve">Meter Equivalent” is equal to 150 gallon-per-day </w:t>
            </w:r>
          </w:p>
        </w:tc>
        <w:tc>
          <w:tcPr>
            <w:tcW w:w="3060" w:type="dxa"/>
          </w:tcPr>
          <w:p w14:paraId="2CD9CA68" w14:textId="77777777" w:rsidR="00CE3F01" w:rsidRDefault="00CE3F01" w:rsidP="00991A17">
            <w:pPr>
              <w:rPr>
                <w:sz w:val="24"/>
                <w:szCs w:val="24"/>
              </w:rPr>
            </w:pPr>
            <w:r w:rsidRPr="00D57487">
              <w:rPr>
                <w:sz w:val="24"/>
                <w:szCs w:val="24"/>
              </w:rPr>
              <w:t xml:space="preserve">$2,700 per </w:t>
            </w:r>
            <w:r>
              <w:rPr>
                <w:sz w:val="24"/>
                <w:szCs w:val="24"/>
              </w:rPr>
              <w:t>(REU)</w:t>
            </w:r>
          </w:p>
          <w:p w14:paraId="3A36C2DC" w14:textId="77777777" w:rsidR="00CE3F01" w:rsidRPr="00D57487" w:rsidRDefault="00CE3F01" w:rsidP="00991A17">
            <w:pPr>
              <w:rPr>
                <w:sz w:val="24"/>
                <w:szCs w:val="24"/>
              </w:rPr>
            </w:pPr>
            <w:r>
              <w:rPr>
                <w:sz w:val="24"/>
                <w:szCs w:val="24"/>
              </w:rPr>
              <w:t xml:space="preserve">Residential </w:t>
            </w:r>
            <w:r w:rsidRPr="00D57487">
              <w:rPr>
                <w:sz w:val="24"/>
                <w:szCs w:val="24"/>
              </w:rPr>
              <w:t xml:space="preserve">Meter Equivalent </w:t>
            </w:r>
          </w:p>
        </w:tc>
      </w:tr>
      <w:tr w:rsidR="00CE3F01" w:rsidRPr="00D57487" w14:paraId="6B1C3260" w14:textId="77777777" w:rsidTr="00991A17">
        <w:tc>
          <w:tcPr>
            <w:tcW w:w="3600" w:type="dxa"/>
          </w:tcPr>
          <w:p w14:paraId="28130941" w14:textId="77777777" w:rsidR="00CE3F01" w:rsidRDefault="00CE3F01" w:rsidP="00991A17">
            <w:pPr>
              <w:spacing w:after="0"/>
              <w:rPr>
                <w:sz w:val="24"/>
                <w:szCs w:val="24"/>
              </w:rPr>
            </w:pPr>
            <w:r w:rsidRPr="00D57487">
              <w:rPr>
                <w:sz w:val="24"/>
                <w:szCs w:val="24"/>
              </w:rPr>
              <w:t xml:space="preserve">Sewer Capacity Fee </w:t>
            </w:r>
          </w:p>
          <w:p w14:paraId="03AF112E" w14:textId="77777777" w:rsidR="00CE3F01" w:rsidRDefault="00CE3F01" w:rsidP="00991A17">
            <w:pPr>
              <w:spacing w:after="0"/>
              <w:rPr>
                <w:sz w:val="24"/>
                <w:szCs w:val="24"/>
              </w:rPr>
            </w:pPr>
            <w:r>
              <w:rPr>
                <w:sz w:val="24"/>
                <w:szCs w:val="24"/>
              </w:rPr>
              <w:t>P</w:t>
            </w:r>
            <w:r w:rsidRPr="00D57487">
              <w:rPr>
                <w:sz w:val="24"/>
                <w:szCs w:val="24"/>
              </w:rPr>
              <w:t xml:space="preserve">er Meter Equivalent </w:t>
            </w:r>
          </w:p>
          <w:p w14:paraId="7D56D3C2" w14:textId="6ABC5494" w:rsidR="00CE3F01" w:rsidRPr="00D57487" w:rsidRDefault="00CE3F01" w:rsidP="00991A17">
            <w:pPr>
              <w:spacing w:after="0"/>
              <w:rPr>
                <w:sz w:val="24"/>
                <w:szCs w:val="24"/>
              </w:rPr>
            </w:pPr>
            <w:r>
              <w:rPr>
                <w:sz w:val="24"/>
                <w:szCs w:val="24"/>
              </w:rPr>
              <w:t>“Residential Equivalent Unit” (REU)</w:t>
            </w:r>
          </w:p>
        </w:tc>
        <w:tc>
          <w:tcPr>
            <w:tcW w:w="3240" w:type="dxa"/>
          </w:tcPr>
          <w:p w14:paraId="0706AED1" w14:textId="77777777" w:rsidR="00CE3F01" w:rsidRPr="00D57487" w:rsidRDefault="00CE3F01" w:rsidP="00991A17">
            <w:pPr>
              <w:rPr>
                <w:sz w:val="24"/>
                <w:szCs w:val="24"/>
              </w:rPr>
            </w:pPr>
            <w:r w:rsidRPr="00D57487">
              <w:rPr>
                <w:sz w:val="24"/>
                <w:szCs w:val="24"/>
              </w:rPr>
              <w:t xml:space="preserve">“Residential </w:t>
            </w:r>
            <w:r>
              <w:rPr>
                <w:sz w:val="24"/>
                <w:szCs w:val="24"/>
              </w:rPr>
              <w:t xml:space="preserve">Meter </w:t>
            </w:r>
            <w:r w:rsidRPr="00D57487">
              <w:rPr>
                <w:sz w:val="24"/>
                <w:szCs w:val="24"/>
              </w:rPr>
              <w:t xml:space="preserve">Equivalent” is equal to 300 gallons-per-day </w:t>
            </w:r>
          </w:p>
        </w:tc>
        <w:tc>
          <w:tcPr>
            <w:tcW w:w="3060" w:type="dxa"/>
          </w:tcPr>
          <w:p w14:paraId="266D4CC9" w14:textId="77777777" w:rsidR="00CE3F01" w:rsidRDefault="00CE3F01" w:rsidP="00991A17">
            <w:pPr>
              <w:rPr>
                <w:sz w:val="24"/>
                <w:szCs w:val="24"/>
              </w:rPr>
            </w:pPr>
            <w:r w:rsidRPr="00D57487">
              <w:rPr>
                <w:sz w:val="24"/>
                <w:szCs w:val="24"/>
              </w:rPr>
              <w:t xml:space="preserve">$2,688 per </w:t>
            </w:r>
            <w:r>
              <w:rPr>
                <w:sz w:val="24"/>
                <w:szCs w:val="24"/>
              </w:rPr>
              <w:t>(REU)</w:t>
            </w:r>
          </w:p>
          <w:p w14:paraId="4A279216" w14:textId="78121BE4" w:rsidR="00CE3F01" w:rsidRPr="00D57487" w:rsidRDefault="00CE3F01" w:rsidP="00991A17">
            <w:pPr>
              <w:rPr>
                <w:sz w:val="24"/>
                <w:szCs w:val="24"/>
              </w:rPr>
            </w:pPr>
            <w:r w:rsidRPr="00D57487">
              <w:rPr>
                <w:sz w:val="24"/>
                <w:szCs w:val="24"/>
              </w:rPr>
              <w:t xml:space="preserve">Residential </w:t>
            </w:r>
            <w:r>
              <w:rPr>
                <w:sz w:val="24"/>
                <w:szCs w:val="24"/>
              </w:rPr>
              <w:t xml:space="preserve">Meter Equivalent </w:t>
            </w:r>
          </w:p>
        </w:tc>
      </w:tr>
      <w:bookmarkEnd w:id="0"/>
    </w:tbl>
    <w:p w14:paraId="600F4D6C" w14:textId="77777777" w:rsidR="00AB40CE" w:rsidRDefault="00AB40CE" w:rsidP="00AB40CE">
      <w:pPr>
        <w:rPr>
          <w:sz w:val="24"/>
          <w:szCs w:val="24"/>
        </w:rPr>
      </w:pPr>
    </w:p>
    <w:p w14:paraId="35581B0D" w14:textId="47505BAE" w:rsidR="00CE3F01" w:rsidRPr="00574F42" w:rsidRDefault="00CE3F01" w:rsidP="00CE3F01">
      <w:pPr>
        <w:spacing w:after="240"/>
        <w:jc w:val="both"/>
        <w:rPr>
          <w:sz w:val="23"/>
          <w:szCs w:val="23"/>
        </w:rPr>
      </w:pPr>
      <w:r w:rsidRPr="00574F42">
        <w:rPr>
          <w:sz w:val="23"/>
          <w:szCs w:val="23"/>
        </w:rPr>
        <w:t xml:space="preserve">The aforesaid hearing shall be conducted publicly and both proponents and opponents of the proposed action shall be given full opportunity to be heard in person or by counsel. Following the hearing, the </w:t>
      </w:r>
      <w:r>
        <w:rPr>
          <w:sz w:val="23"/>
          <w:szCs w:val="23"/>
        </w:rPr>
        <w:t>Commission</w:t>
      </w:r>
      <w:r w:rsidRPr="00574F42">
        <w:rPr>
          <w:sz w:val="23"/>
          <w:szCs w:val="23"/>
        </w:rPr>
        <w:t xml:space="preserve"> shall</w:t>
      </w:r>
      <w:r>
        <w:rPr>
          <w:sz w:val="23"/>
          <w:szCs w:val="23"/>
        </w:rPr>
        <w:t xml:space="preserve"> determine, by resolution, whether to approve the </w:t>
      </w:r>
      <w:r w:rsidR="00A70B91">
        <w:rPr>
          <w:sz w:val="23"/>
          <w:szCs w:val="23"/>
        </w:rPr>
        <w:t xml:space="preserve">Capacity Fee Policy and Schedule of Fees </w:t>
      </w:r>
      <w:r>
        <w:rPr>
          <w:sz w:val="23"/>
          <w:szCs w:val="23"/>
        </w:rPr>
        <w:t xml:space="preserve">as presented.  </w:t>
      </w:r>
      <w:r w:rsidRPr="00574F42">
        <w:rPr>
          <w:sz w:val="23"/>
          <w:szCs w:val="23"/>
        </w:rPr>
        <w:t xml:space="preserve"> </w:t>
      </w:r>
    </w:p>
    <w:p w14:paraId="1012A442" w14:textId="77777777" w:rsidR="00CE3F01" w:rsidRPr="00574F42" w:rsidRDefault="00CE3F01" w:rsidP="00CE3F01">
      <w:pPr>
        <w:spacing w:after="240"/>
        <w:jc w:val="both"/>
        <w:rPr>
          <w:sz w:val="23"/>
          <w:szCs w:val="23"/>
        </w:rPr>
      </w:pPr>
      <w:r w:rsidRPr="00574F42">
        <w:rPr>
          <w:sz w:val="23"/>
          <w:szCs w:val="23"/>
        </w:rPr>
        <w:tab/>
      </w:r>
    </w:p>
    <w:p w14:paraId="363425FC" w14:textId="77777777" w:rsidR="00CE3F01" w:rsidRDefault="00CE3F01" w:rsidP="00CE3F01">
      <w:pPr>
        <w:ind w:left="4320"/>
        <w:jc w:val="both"/>
        <w:rPr>
          <w:b/>
          <w:sz w:val="23"/>
          <w:szCs w:val="23"/>
        </w:rPr>
      </w:pPr>
      <w:r>
        <w:rPr>
          <w:b/>
          <w:sz w:val="23"/>
          <w:szCs w:val="23"/>
        </w:rPr>
        <w:t>LOWCOUNTRY REGIONAL WATER SYSTEM,</w:t>
      </w:r>
    </w:p>
    <w:p w14:paraId="6B1609A6" w14:textId="2A9CAAA9" w:rsidR="009A591E" w:rsidRPr="000A361A" w:rsidRDefault="00CE3F01" w:rsidP="00261AA0">
      <w:pPr>
        <w:ind w:left="4320"/>
        <w:jc w:val="both"/>
        <w:rPr>
          <w:b/>
          <w:bCs/>
          <w:sz w:val="40"/>
          <w:szCs w:val="40"/>
        </w:rPr>
      </w:pPr>
      <w:r>
        <w:rPr>
          <w:b/>
          <w:sz w:val="23"/>
          <w:szCs w:val="23"/>
        </w:rPr>
        <w:t>SOUTH CAROLINA</w:t>
      </w:r>
    </w:p>
    <w:sectPr w:rsidR="009A591E" w:rsidRPr="000A361A" w:rsidSect="00CE3F01">
      <w:headerReference w:type="even" r:id="rId6"/>
      <w:headerReference w:type="default" r:id="rId7"/>
      <w:footerReference w:type="even" r:id="rId8"/>
      <w:footerReference w:type="default" r:id="rId9"/>
      <w:headerReference w:type="first" r:id="rId10"/>
      <w:footerReference w:type="first" r:id="rId11"/>
      <w:pgSz w:w="12240" w:h="15840"/>
      <w:pgMar w:top="1440" w:right="1296" w:bottom="144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046C" w14:textId="77777777" w:rsidR="004B7CB2" w:rsidRDefault="004B7CB2" w:rsidP="00D3198E">
      <w:pPr>
        <w:spacing w:after="0"/>
      </w:pPr>
      <w:r>
        <w:separator/>
      </w:r>
    </w:p>
  </w:endnote>
  <w:endnote w:type="continuationSeparator" w:id="0">
    <w:p w14:paraId="1DDF6472" w14:textId="77777777" w:rsidR="004B7CB2" w:rsidRDefault="004B7CB2" w:rsidP="00D31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3274" w14:textId="77777777" w:rsidR="00AC4780" w:rsidRDefault="00AC4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5F23" w14:textId="77777777" w:rsidR="00AC4780" w:rsidRDefault="00AC4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E58A" w14:textId="77777777" w:rsidR="00D3198E" w:rsidRPr="00D3198E" w:rsidRDefault="00D3198E" w:rsidP="00D3198E">
    <w:pPr>
      <w:pStyle w:val="Footer"/>
      <w:rPr>
        <w:color w:val="44546A" w:themeColor="text2"/>
      </w:rPr>
    </w:pPr>
    <w:r w:rsidRPr="00D3198E">
      <w:rPr>
        <w:color w:val="44546A" w:themeColor="text2"/>
      </w:rPr>
      <w:t>513 Elm Street West</w:t>
    </w:r>
    <w:r w:rsidRPr="00D3198E">
      <w:rPr>
        <w:color w:val="44546A" w:themeColor="text2"/>
      </w:rPr>
      <w:tab/>
    </w:r>
    <w:r w:rsidRPr="00D3198E">
      <w:rPr>
        <w:color w:val="44546A" w:themeColor="text2"/>
      </w:rPr>
      <w:tab/>
      <w:t>Phone 803-943-1006</w:t>
    </w:r>
  </w:p>
  <w:p w14:paraId="4CFACA21" w14:textId="77777777" w:rsidR="00D3198E" w:rsidRPr="00D3198E" w:rsidRDefault="00D3198E" w:rsidP="00D3198E">
    <w:pPr>
      <w:pStyle w:val="Footer"/>
      <w:rPr>
        <w:color w:val="44546A" w:themeColor="text2"/>
      </w:rPr>
    </w:pPr>
    <w:r w:rsidRPr="00D3198E">
      <w:rPr>
        <w:color w:val="44546A" w:themeColor="text2"/>
      </w:rPr>
      <w:t>P.O. Box 647</w:t>
    </w:r>
    <w:r w:rsidRPr="00D3198E">
      <w:rPr>
        <w:color w:val="44546A" w:themeColor="text2"/>
      </w:rPr>
      <w:tab/>
      <w:t xml:space="preserve">                   </w:t>
    </w:r>
    <w:r w:rsidR="00AC4780">
      <w:rPr>
        <w:color w:val="44546A" w:themeColor="text2"/>
      </w:rPr>
      <w:t xml:space="preserve">                                </w:t>
    </w:r>
    <w:r w:rsidRPr="00D3198E">
      <w:rPr>
        <w:color w:val="44546A" w:themeColor="text2"/>
      </w:rPr>
      <w:t xml:space="preserve"> Hampton, SC  </w:t>
    </w:r>
    <w:r w:rsidR="00AC4780">
      <w:rPr>
        <w:color w:val="44546A" w:themeColor="text2"/>
      </w:rPr>
      <w:t>29924</w:t>
    </w:r>
    <w:r w:rsidRPr="00D3198E">
      <w:rPr>
        <w:color w:val="44546A" w:themeColor="text2"/>
      </w:rPr>
      <w:t xml:space="preserve">                                            Fax 803-943-1014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555D" w14:textId="77777777" w:rsidR="004B7CB2" w:rsidRDefault="004B7CB2" w:rsidP="00D3198E">
      <w:pPr>
        <w:spacing w:after="0"/>
      </w:pPr>
      <w:r>
        <w:separator/>
      </w:r>
    </w:p>
  </w:footnote>
  <w:footnote w:type="continuationSeparator" w:id="0">
    <w:p w14:paraId="1184DECD" w14:textId="77777777" w:rsidR="004B7CB2" w:rsidRDefault="004B7CB2" w:rsidP="00D319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2DA5" w14:textId="77777777" w:rsidR="00AC4780" w:rsidRDefault="00AC4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79365"/>
      <w:docPartObj>
        <w:docPartGallery w:val="Page Numbers (Top of Page)"/>
        <w:docPartUnique/>
      </w:docPartObj>
    </w:sdtPr>
    <w:sdtContent>
      <w:p w14:paraId="79C7BC2E" w14:textId="77777777" w:rsidR="00D3198E" w:rsidRDefault="00D3198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60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6084">
          <w:rPr>
            <w:b/>
            <w:bCs/>
            <w:noProof/>
          </w:rPr>
          <w:t>2</w:t>
        </w:r>
        <w:r>
          <w:rPr>
            <w:b/>
            <w:bCs/>
            <w:sz w:val="24"/>
            <w:szCs w:val="24"/>
          </w:rPr>
          <w:fldChar w:fldCharType="end"/>
        </w:r>
      </w:p>
    </w:sdtContent>
  </w:sdt>
  <w:p w14:paraId="7E8B3674" w14:textId="77777777" w:rsidR="00D3198E" w:rsidRDefault="00D31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94CD" w14:textId="77777777" w:rsidR="00D3198E" w:rsidRDefault="00D3198E" w:rsidP="00D3198E">
    <w:pPr>
      <w:pStyle w:val="Header"/>
      <w:jc w:val="center"/>
    </w:pPr>
    <w:r>
      <w:rPr>
        <w:noProof/>
      </w:rPr>
      <w:drawing>
        <wp:inline distT="0" distB="0" distL="0" distR="0" wp14:anchorId="4C141EE6" wp14:editId="3AF2287C">
          <wp:extent cx="3023870" cy="12192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3870" cy="1219200"/>
                  </a:xfrm>
                  <a:prstGeom prst="rect">
                    <a:avLst/>
                  </a:prstGeom>
                  <a:noFill/>
                </pic:spPr>
              </pic:pic>
            </a:graphicData>
          </a:graphic>
        </wp:inline>
      </w:drawing>
    </w:r>
  </w:p>
  <w:p w14:paraId="147665FA" w14:textId="77777777" w:rsidR="00D6624C" w:rsidRDefault="00D6624C" w:rsidP="00D3198E">
    <w:pPr>
      <w:pStyle w:val="Header"/>
      <w:jc w:val="center"/>
    </w:pPr>
  </w:p>
  <w:p w14:paraId="1D32D1B5" w14:textId="77777777" w:rsidR="00D3198E" w:rsidRDefault="00D3198E" w:rsidP="00D3198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8E"/>
    <w:rsid w:val="000118C9"/>
    <w:rsid w:val="000A361A"/>
    <w:rsid w:val="00261AA0"/>
    <w:rsid w:val="00265BBE"/>
    <w:rsid w:val="002855FF"/>
    <w:rsid w:val="004B7CB2"/>
    <w:rsid w:val="00717E34"/>
    <w:rsid w:val="00852627"/>
    <w:rsid w:val="009165C8"/>
    <w:rsid w:val="009A591E"/>
    <w:rsid w:val="00A661C9"/>
    <w:rsid w:val="00A70B91"/>
    <w:rsid w:val="00AB40CE"/>
    <w:rsid w:val="00AC4780"/>
    <w:rsid w:val="00AE3A88"/>
    <w:rsid w:val="00B313F7"/>
    <w:rsid w:val="00CB7CD6"/>
    <w:rsid w:val="00CE3F01"/>
    <w:rsid w:val="00CF3514"/>
    <w:rsid w:val="00D05B3A"/>
    <w:rsid w:val="00D3198E"/>
    <w:rsid w:val="00D35362"/>
    <w:rsid w:val="00D6624C"/>
    <w:rsid w:val="00EF4FED"/>
    <w:rsid w:val="00F04B4F"/>
    <w:rsid w:val="00F06084"/>
    <w:rsid w:val="00F4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4BF0"/>
  <w15:chartTrackingRefBased/>
  <w15:docId w15:val="{CAB90524-8451-4910-BB1B-9268F645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98E"/>
    <w:pPr>
      <w:tabs>
        <w:tab w:val="center" w:pos="4680"/>
        <w:tab w:val="right" w:pos="9360"/>
      </w:tabs>
      <w:spacing w:after="0"/>
    </w:pPr>
  </w:style>
  <w:style w:type="character" w:customStyle="1" w:styleId="HeaderChar">
    <w:name w:val="Header Char"/>
    <w:basedOn w:val="DefaultParagraphFont"/>
    <w:link w:val="Header"/>
    <w:uiPriority w:val="99"/>
    <w:rsid w:val="00D3198E"/>
  </w:style>
  <w:style w:type="paragraph" w:styleId="Footer">
    <w:name w:val="footer"/>
    <w:basedOn w:val="Normal"/>
    <w:link w:val="FooterChar"/>
    <w:uiPriority w:val="99"/>
    <w:unhideWhenUsed/>
    <w:rsid w:val="00D3198E"/>
    <w:pPr>
      <w:tabs>
        <w:tab w:val="center" w:pos="4680"/>
        <w:tab w:val="right" w:pos="9360"/>
      </w:tabs>
      <w:spacing w:after="0"/>
    </w:pPr>
  </w:style>
  <w:style w:type="character" w:customStyle="1" w:styleId="FooterChar">
    <w:name w:val="Footer Char"/>
    <w:basedOn w:val="DefaultParagraphFont"/>
    <w:link w:val="Footer"/>
    <w:uiPriority w:val="99"/>
    <w:rsid w:val="00D3198E"/>
  </w:style>
  <w:style w:type="table" w:styleId="TableGrid">
    <w:name w:val="Table Grid"/>
    <w:basedOn w:val="TableNormal"/>
    <w:uiPriority w:val="39"/>
    <w:rsid w:val="00AB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QS1 ACCT</dc:creator>
  <cp:keywords/>
  <dc:description/>
  <cp:lastModifiedBy>Sara Craven</cp:lastModifiedBy>
  <cp:revision>2</cp:revision>
  <cp:lastPrinted>2023-07-24T21:28:00Z</cp:lastPrinted>
  <dcterms:created xsi:type="dcterms:W3CDTF">2023-07-26T17:31:00Z</dcterms:created>
  <dcterms:modified xsi:type="dcterms:W3CDTF">2023-07-26T17:31:00Z</dcterms:modified>
</cp:coreProperties>
</file>